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9EC2" w14:textId="77777777" w:rsidR="00C82FD1" w:rsidRDefault="002E7106" w:rsidP="00285AF5">
      <w:pPr>
        <w:pStyle w:val="Overskrift2"/>
        <w:spacing w:after="240"/>
        <w:rPr>
          <w:rFonts w:asciiTheme="minorHAnsi" w:hAnsiTheme="minorHAnsi"/>
          <w:b/>
          <w:sz w:val="22"/>
          <w:szCs w:val="22"/>
        </w:rPr>
      </w:pPr>
      <w:r w:rsidRPr="00A76DDB">
        <w:rPr>
          <w:rFonts w:asciiTheme="minorHAnsi" w:hAnsiTheme="minorHAnsi"/>
          <w:b/>
          <w:sz w:val="22"/>
          <w:szCs w:val="22"/>
        </w:rPr>
        <w:t>Procedure for udarbejdelse af eksamens- og reeksamensplan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943"/>
        <w:gridCol w:w="8513"/>
      </w:tblGrid>
      <w:tr w:rsidR="00C82FD1" w14:paraId="390CF92F" w14:textId="77777777" w:rsidTr="005A7A79">
        <w:tc>
          <w:tcPr>
            <w:tcW w:w="92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C2462E" w14:textId="77777777" w:rsidR="00C82FD1" w:rsidRDefault="00C82FD1" w:rsidP="00C82FD1">
            <w:r w:rsidRPr="00A76DDB">
              <w:rPr>
                <w:b/>
              </w:rPr>
              <w:t>Ansvarlig</w:t>
            </w:r>
          </w:p>
        </w:tc>
        <w:tc>
          <w:tcPr>
            <w:tcW w:w="40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0B140C" w14:textId="47266E46" w:rsidR="00C82FD1" w:rsidRDefault="00C82FD1" w:rsidP="00583B6C">
            <w:pPr>
              <w:spacing w:before="120" w:after="120"/>
            </w:pPr>
            <w:r>
              <w:t>Eksamensplanlæggere</w:t>
            </w:r>
            <w:r w:rsidR="00657D47">
              <w:t xml:space="preserve"> </w:t>
            </w:r>
            <w:r w:rsidR="00A34010">
              <w:t>fra studieadministrationen</w:t>
            </w:r>
          </w:p>
        </w:tc>
      </w:tr>
      <w:tr w:rsidR="00C82FD1" w14:paraId="7853B909" w14:textId="77777777" w:rsidTr="005A7A79">
        <w:tc>
          <w:tcPr>
            <w:tcW w:w="92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C05E69" w14:textId="77777777" w:rsidR="00C82FD1" w:rsidRDefault="00C82FD1" w:rsidP="00C82FD1">
            <w:r w:rsidRPr="00A76DDB">
              <w:rPr>
                <w:b/>
              </w:rPr>
              <w:t>Godkendes af</w:t>
            </w:r>
            <w:r w:rsidRPr="00A76DDB">
              <w:tab/>
            </w:r>
          </w:p>
        </w:tc>
        <w:tc>
          <w:tcPr>
            <w:tcW w:w="40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2AFEC" w14:textId="229B8A8A" w:rsidR="00C82FD1" w:rsidRDefault="00C82FD1" w:rsidP="00583B6C">
            <w:pPr>
              <w:spacing w:before="120" w:after="120"/>
            </w:pPr>
            <w:r w:rsidRPr="00A76DDB">
              <w:t>Studienævn</w:t>
            </w:r>
            <w:r>
              <w:t xml:space="preserve"> og studieleder</w:t>
            </w:r>
          </w:p>
        </w:tc>
      </w:tr>
      <w:tr w:rsidR="00285AF5" w14:paraId="21234B11" w14:textId="77777777" w:rsidTr="005A7A79">
        <w:trPr>
          <w:trHeight w:val="667"/>
        </w:trPr>
        <w:tc>
          <w:tcPr>
            <w:tcW w:w="92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EE9956" w14:textId="77777777" w:rsidR="00285AF5" w:rsidRDefault="00285AF5" w:rsidP="00C82FD1">
            <w:pPr>
              <w:rPr>
                <w:b/>
              </w:rPr>
            </w:pPr>
            <w:r w:rsidRPr="00A76DDB">
              <w:rPr>
                <w:b/>
              </w:rPr>
              <w:t xml:space="preserve">Tidspunkt for </w:t>
            </w:r>
          </w:p>
          <w:p w14:paraId="627D56E0" w14:textId="77777777" w:rsidR="00285AF5" w:rsidRDefault="00285AF5" w:rsidP="00C82FD1">
            <w:r w:rsidRPr="00A76DDB">
              <w:rPr>
                <w:b/>
              </w:rPr>
              <w:t>udførelse</w:t>
            </w:r>
          </w:p>
        </w:tc>
        <w:tc>
          <w:tcPr>
            <w:tcW w:w="40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7AB905" w14:textId="0BBA0477" w:rsidR="00285AF5" w:rsidRPr="00285AF5" w:rsidRDefault="00285AF5" w:rsidP="00285AF5">
            <w:pPr>
              <w:pStyle w:val="Listeafsnit"/>
              <w:numPr>
                <w:ilvl w:val="0"/>
                <w:numId w:val="8"/>
              </w:numPr>
              <w:spacing w:before="120" w:after="120"/>
              <w:rPr>
                <w:i/>
              </w:rPr>
            </w:pPr>
            <w:r w:rsidRPr="00285AF5">
              <w:rPr>
                <w:i/>
              </w:rPr>
              <w:t xml:space="preserve">For efterår/vinter startes planlægning </w:t>
            </w:r>
            <w:r w:rsidR="00EF0C20">
              <w:rPr>
                <w:i/>
              </w:rPr>
              <w:t xml:space="preserve">midt marts </w:t>
            </w:r>
            <w:r w:rsidRPr="00285AF5">
              <w:rPr>
                <w:i/>
              </w:rPr>
              <w:t xml:space="preserve">foregående år </w:t>
            </w:r>
          </w:p>
          <w:p w14:paraId="6818F95D" w14:textId="7A49FFED" w:rsidR="00285AF5" w:rsidRPr="00C70516" w:rsidRDefault="00285AF5" w:rsidP="00285AF5">
            <w:pPr>
              <w:pStyle w:val="Listeafsnit"/>
              <w:numPr>
                <w:ilvl w:val="0"/>
                <w:numId w:val="8"/>
              </w:numPr>
              <w:spacing w:before="120" w:after="120"/>
            </w:pPr>
            <w:r w:rsidRPr="00285AF5">
              <w:rPr>
                <w:i/>
              </w:rPr>
              <w:t xml:space="preserve">For forår/sommer startes planlægning </w:t>
            </w:r>
            <w:r w:rsidR="00EF0C20">
              <w:rPr>
                <w:i/>
              </w:rPr>
              <w:t>midt september</w:t>
            </w:r>
            <w:r w:rsidRPr="00285AF5">
              <w:rPr>
                <w:i/>
              </w:rPr>
              <w:t xml:space="preserve"> foregående år</w:t>
            </w:r>
          </w:p>
        </w:tc>
      </w:tr>
      <w:tr w:rsidR="00C82FD1" w14:paraId="1009D19A" w14:textId="77777777" w:rsidTr="005A7A79">
        <w:trPr>
          <w:trHeight w:val="675"/>
        </w:trPr>
        <w:tc>
          <w:tcPr>
            <w:tcW w:w="92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037C54" w14:textId="77777777" w:rsidR="00C82FD1" w:rsidRDefault="00C82FD1" w:rsidP="00C82FD1">
            <w:r w:rsidRPr="00A76DDB">
              <w:rPr>
                <w:b/>
              </w:rPr>
              <w:t>Forudsætninger</w:t>
            </w:r>
          </w:p>
        </w:tc>
        <w:tc>
          <w:tcPr>
            <w:tcW w:w="40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C58259" w14:textId="77777777" w:rsidR="00C82FD1" w:rsidRPr="00C82FD1" w:rsidRDefault="00C82FD1" w:rsidP="00583B6C">
            <w:pPr>
              <w:spacing w:before="120" w:after="120"/>
              <w:rPr>
                <w:i/>
              </w:rPr>
            </w:pPr>
            <w:r w:rsidRPr="00C82FD1">
              <w:rPr>
                <w:i/>
              </w:rPr>
              <w:t>Eksamensperioderne er:</w:t>
            </w:r>
          </w:p>
          <w:p w14:paraId="46267662" w14:textId="77777777" w:rsidR="00C82FD1" w:rsidRPr="00A76DDB" w:rsidRDefault="00C82FD1" w:rsidP="00583B6C">
            <w:pPr>
              <w:pStyle w:val="Listeafsnit"/>
              <w:numPr>
                <w:ilvl w:val="0"/>
                <w:numId w:val="1"/>
              </w:numPr>
              <w:spacing w:before="120" w:after="120"/>
            </w:pPr>
            <w:r>
              <w:t>J</w:t>
            </w:r>
            <w:r w:rsidRPr="00A76DDB">
              <w:t xml:space="preserve">uni (ordinær) – august (reeksamen) </w:t>
            </w:r>
          </w:p>
          <w:p w14:paraId="4C987693" w14:textId="5A0FEBB9" w:rsidR="00C82FD1" w:rsidRDefault="00C82FD1" w:rsidP="00583B6C">
            <w:pPr>
              <w:pStyle w:val="Listeafsnit"/>
              <w:numPr>
                <w:ilvl w:val="0"/>
                <w:numId w:val="1"/>
              </w:numPr>
              <w:spacing w:before="120" w:after="120"/>
            </w:pPr>
            <w:r w:rsidRPr="00A76DDB">
              <w:t>Januar (ordinær) – februar (reeksamen)</w:t>
            </w:r>
          </w:p>
        </w:tc>
      </w:tr>
      <w:tr w:rsidR="002E7106" w14:paraId="0E51D1C5" w14:textId="77777777" w:rsidTr="005A7A79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BABF82" w14:textId="77777777" w:rsidR="002E7106" w:rsidRPr="00AF6A59" w:rsidRDefault="002E7106" w:rsidP="002E7106">
            <w:pPr>
              <w:spacing w:before="120" w:after="120"/>
              <w:jc w:val="center"/>
            </w:pPr>
            <w:r w:rsidRPr="00A76DDB">
              <w:rPr>
                <w:b/>
              </w:rPr>
              <w:t>Proces</w:t>
            </w:r>
          </w:p>
        </w:tc>
      </w:tr>
      <w:tr w:rsidR="002E7106" w14:paraId="363AFB25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67EA6D" w14:textId="495E2085" w:rsidR="006328BE" w:rsidRDefault="006328BE" w:rsidP="006328BE">
            <w:pPr>
              <w:spacing w:after="160"/>
            </w:pPr>
            <w:r w:rsidRPr="00ED1CC6">
              <w:t xml:space="preserve">På et studienævnsmøde </w:t>
            </w:r>
            <w:r w:rsidR="006000E2" w:rsidRPr="00ED1CC6">
              <w:t xml:space="preserve">i </w:t>
            </w:r>
            <w:r w:rsidRPr="00ED1CC6">
              <w:t>februar</w:t>
            </w:r>
            <w:r w:rsidR="00BA23C4">
              <w:t xml:space="preserve"> </w:t>
            </w:r>
            <w:r w:rsidRPr="007728A0">
              <w:t>skal der være et</w:t>
            </w:r>
            <w:r>
              <w:t xml:space="preserve"> fast</w:t>
            </w:r>
            <w:r w:rsidRPr="007728A0">
              <w:t xml:space="preserve"> punkt på dagsordenen</w:t>
            </w:r>
            <w:r>
              <w:t>, hvor</w:t>
            </w:r>
            <w:r w:rsidRPr="007728A0">
              <w:t xml:space="preserve"> </w:t>
            </w:r>
            <w:r>
              <w:t xml:space="preserve">studieleder gennemgår eksisterende principper, hvorefter man ud fra tidligere års erfaring drøfter, </w:t>
            </w:r>
            <w:r w:rsidRPr="007728A0">
              <w:t>hvor</w:t>
            </w:r>
            <w:r>
              <w:t xml:space="preserve">vidt de eksisterende </w:t>
            </w:r>
            <w:r w:rsidRPr="007728A0">
              <w:t>principper for eksamensplanlægning</w:t>
            </w:r>
            <w:r>
              <w:t xml:space="preserve"> skal revideres. </w:t>
            </w:r>
            <w:r w:rsidR="00E1782C">
              <w:t>Ændringer i principperne præciseres i mødeindkaldelsen.</w:t>
            </w:r>
          </w:p>
          <w:p w14:paraId="62D5917B" w14:textId="0E992F1E" w:rsidR="002E7106" w:rsidRDefault="006328BE" w:rsidP="006328BE">
            <w:r>
              <w:t>Der kan fx være tale om en ønsket rækkefølge af eksamener på et bestemt semester på en bestemt uddannelse</w:t>
            </w:r>
            <w:r w:rsidRPr="007728A0">
              <w:t xml:space="preserve">. Eksamensplanlægger deltager ved </w:t>
            </w:r>
            <w:r>
              <w:t xml:space="preserve">punktet på </w:t>
            </w:r>
            <w:r w:rsidRPr="007728A0">
              <w:t>mødet sammen med studieleder.</w:t>
            </w:r>
          </w:p>
        </w:tc>
      </w:tr>
      <w:tr w:rsidR="006328BE" w14:paraId="341F0EA7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64EE84" w14:textId="27A5118C" w:rsidR="006328BE" w:rsidRPr="00AF6A59" w:rsidRDefault="006328BE" w:rsidP="00972598">
            <w:r w:rsidRPr="00AF6A59">
              <w:t>Eksamensplanen for det tidligere år</w:t>
            </w:r>
            <w:r>
              <w:t xml:space="preserve"> overføres/kopieres</w:t>
            </w:r>
            <w:r w:rsidRPr="00AF6A59">
              <w:t xml:space="preserve"> </w:t>
            </w:r>
            <w:r>
              <w:t>til indeværende år. Det sker under hensyntagen til</w:t>
            </w:r>
            <w:r w:rsidRPr="00AF6A59">
              <w:t xml:space="preserve"> datoer/weekender, helligdage og evt. nye studieordninger. </w:t>
            </w:r>
          </w:p>
        </w:tc>
      </w:tr>
      <w:tr w:rsidR="00972598" w14:paraId="7FDFF059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25DEC5" w14:textId="6A656BC0" w:rsidR="00972598" w:rsidRPr="00AF6A59" w:rsidRDefault="00972598" w:rsidP="00972598">
            <w:r w:rsidRPr="00AF6A59">
              <w:t>Ved ny studieordning inddrages semesterkoordinator ved opstart</w:t>
            </w:r>
            <w:r>
              <w:t xml:space="preserve"> for at sikre, at rækkefølgen af eksamener fortsat er korrekt.</w:t>
            </w:r>
            <w:r w:rsidRPr="00AF6A59">
              <w:t xml:space="preserve"> </w:t>
            </w:r>
          </w:p>
        </w:tc>
      </w:tr>
      <w:tr w:rsidR="00972598" w14:paraId="16B948CE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6715BA" w14:textId="1C67C3B8" w:rsidR="00972598" w:rsidRPr="00AF6A59" w:rsidRDefault="00972598" w:rsidP="006328BE">
            <w:r>
              <w:t xml:space="preserve">Eksamensplanlæggere </w:t>
            </w:r>
            <w:r w:rsidR="00BF4B53">
              <w:t>formidler planen til det</w:t>
            </w:r>
            <w:r>
              <w:t xml:space="preserve"> øvrig</w:t>
            </w:r>
            <w:r w:rsidR="00BF4B53">
              <w:t>e</w:t>
            </w:r>
            <w:r>
              <w:t xml:space="preserve"> studiesekretariat</w:t>
            </w:r>
            <w:r w:rsidR="0058676F">
              <w:t>,</w:t>
            </w:r>
            <w:r>
              <w:t xml:space="preserve"> </w:t>
            </w:r>
            <w:r w:rsidR="00BF4B53">
              <w:t xml:space="preserve">som </w:t>
            </w:r>
            <w:r>
              <w:t xml:space="preserve">tjekker op på eksamensformer </w:t>
            </w:r>
            <w:r w:rsidR="00D02D5D">
              <w:t xml:space="preserve">med afsæt i sidste års eksamensplan </w:t>
            </w:r>
            <w:r>
              <w:t>(mundtlig, skriftlig etc.)</w:t>
            </w:r>
            <w:r w:rsidR="00601B37">
              <w:t xml:space="preserve">, samt giver øvrige </w:t>
            </w:r>
            <w:r w:rsidR="0058676F">
              <w:t>kommentarer og input til planen (hvad fungerede godt/mindre godt)</w:t>
            </w:r>
            <w:r>
              <w:t>.</w:t>
            </w:r>
          </w:p>
        </w:tc>
      </w:tr>
      <w:tr w:rsidR="0058676F" w14:paraId="138730F5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D30C2F" w14:textId="47E2CE58" w:rsidR="0058676F" w:rsidRDefault="0058676F" w:rsidP="006328BE">
            <w:r w:rsidRPr="00AF6A59">
              <w:t>Der foretages ingen</w:t>
            </w:r>
            <w:r>
              <w:t xml:space="preserve"> større</w:t>
            </w:r>
            <w:r w:rsidRPr="00AF6A59">
              <w:t xml:space="preserve"> ændringer </w:t>
            </w:r>
            <w:r>
              <w:t xml:space="preserve">på baggrund af studiesekretærernes input, </w:t>
            </w:r>
            <w:r w:rsidRPr="00AF6A59">
              <w:t>før d</w:t>
            </w:r>
            <w:r>
              <w:t>iss</w:t>
            </w:r>
            <w:r w:rsidRPr="00AF6A59">
              <w:t xml:space="preserve">e er drøftet med </w:t>
            </w:r>
            <w:r>
              <w:t>studieleder</w:t>
            </w:r>
            <w:r w:rsidRPr="00AF6A59">
              <w:t xml:space="preserve"> og </w:t>
            </w:r>
            <w:r>
              <w:t>studienævn</w:t>
            </w:r>
            <w:r w:rsidRPr="00AF6A59">
              <w:t xml:space="preserve"> (primo april og oktober).</w:t>
            </w:r>
          </w:p>
        </w:tc>
      </w:tr>
      <w:tr w:rsidR="00972598" w14:paraId="4966080F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B5B178" w14:textId="5C095AB3" w:rsidR="00972598" w:rsidRDefault="00972598" w:rsidP="006328BE">
            <w:r>
              <w:t>Eksamensplanlægger g</w:t>
            </w:r>
            <w:r w:rsidRPr="007728A0">
              <w:t>ennemg</w:t>
            </w:r>
            <w:r>
              <w:t>år</w:t>
            </w:r>
            <w:r w:rsidRPr="007728A0">
              <w:t xml:space="preserve"> udkast</w:t>
            </w:r>
            <w:r>
              <w:t xml:space="preserve">et til den kommende eksamensplan </w:t>
            </w:r>
            <w:r w:rsidRPr="007728A0">
              <w:t>med studieleder for at sikre enighed</w:t>
            </w:r>
            <w:r>
              <w:t xml:space="preserve"> inden møde med studienævn</w:t>
            </w:r>
            <w:r w:rsidRPr="007728A0">
              <w:t>.</w:t>
            </w:r>
          </w:p>
        </w:tc>
      </w:tr>
      <w:tr w:rsidR="002E7106" w14:paraId="5E27AB2B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F68003" w14:textId="1346EBE4" w:rsidR="00272F21" w:rsidRDefault="002E7106" w:rsidP="005808B7">
            <w:pPr>
              <w:spacing w:after="160"/>
            </w:pPr>
            <w:r>
              <w:t>Eksamensplanlægger sender en fælles orienteringsmail med den foreløbige plan til alle semester- og modulkoordinatorer f</w:t>
            </w:r>
            <w:r w:rsidRPr="00AF6A59">
              <w:t xml:space="preserve">ørste uge i </w:t>
            </w:r>
            <w:r w:rsidR="00CF7F02">
              <w:t>april</w:t>
            </w:r>
            <w:r w:rsidRPr="00AF6A59">
              <w:t>/november</w:t>
            </w:r>
            <w:r>
              <w:t>, dette sker også for at sikre</w:t>
            </w:r>
            <w:r w:rsidR="009C23F4">
              <w:t>,</w:t>
            </w:r>
            <w:r>
              <w:t xml:space="preserve"> at eksamensplanlægger har alle informationer</w:t>
            </w:r>
            <w:r w:rsidRPr="00AF6A59">
              <w:t xml:space="preserve">. </w:t>
            </w:r>
          </w:p>
          <w:p w14:paraId="4999E817" w14:textId="266D14C8" w:rsidR="00272F21" w:rsidRDefault="002E7106" w:rsidP="005808B7">
            <w:pPr>
              <w:spacing w:after="160"/>
            </w:pPr>
            <w:r w:rsidRPr="00AF6A59">
              <w:lastRenderedPageBreak/>
              <w:t>Der laves en mail pr. semester</w:t>
            </w:r>
            <w:r w:rsidR="003152CC">
              <w:t xml:space="preserve"> eller uddannelse</w:t>
            </w:r>
            <w:r w:rsidRPr="00AF6A59">
              <w:t>, på den måde får alle modulkoordinato</w:t>
            </w:r>
            <w:r w:rsidR="00272F21">
              <w:t>rer indblik i den samlede plan.</w:t>
            </w:r>
          </w:p>
          <w:p w14:paraId="30699937" w14:textId="109FD8FD" w:rsidR="002E7106" w:rsidRDefault="002E7106" w:rsidP="005808B7">
            <w:r>
              <w:t>R</w:t>
            </w:r>
            <w:r w:rsidRPr="00AF6A59">
              <w:t>ettelser sen</w:t>
            </w:r>
            <w:r>
              <w:t>des til eksamensplanlæggeren. S</w:t>
            </w:r>
            <w:r w:rsidRPr="00AF6A59">
              <w:t>tudieleder/vice-</w:t>
            </w:r>
            <w:r>
              <w:t>institutleder</w:t>
            </w:r>
            <w:r w:rsidRPr="00AF6A59">
              <w:t xml:space="preserve"> inddrages</w:t>
            </w:r>
            <w:r w:rsidR="008A2055">
              <w:t>,</w:t>
            </w:r>
            <w:r w:rsidRPr="00AF6A59">
              <w:t xml:space="preserve"> hvis der er problemer/tvivlsspørgsmål.</w:t>
            </w:r>
          </w:p>
        </w:tc>
      </w:tr>
      <w:tr w:rsidR="002E7106" w14:paraId="1E332E2A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DE88CF" w14:textId="5F542232" w:rsidR="002E7106" w:rsidRDefault="002E7106" w:rsidP="008A2055">
            <w:r w:rsidRPr="00AF6A59">
              <w:lastRenderedPageBreak/>
              <w:t>Formel godkendelse ved studienævn (medio/ultimo maj og nove</w:t>
            </w:r>
            <w:r>
              <w:t>mber). Hvis det viser sig, at studienævnet</w:t>
            </w:r>
            <w:r w:rsidRPr="00AF6A59">
              <w:t xml:space="preserve"> har kommentarer, </w:t>
            </w:r>
            <w:r>
              <w:t xml:space="preserve">som ikke var kendt da principperne blev fastlagt, og dette fører til at eksamensplanen </w:t>
            </w:r>
            <w:r w:rsidRPr="00AF6A59">
              <w:t xml:space="preserve">skal genovervejes, følges samme proces (se ovenfor) med inddragelse af </w:t>
            </w:r>
            <w:r>
              <w:t>eksamensplanlægger</w:t>
            </w:r>
            <w:r w:rsidRPr="00AF6A59">
              <w:t xml:space="preserve">, studieleder og evt. institutledelse. Eksamensplanlægger deltager ved </w:t>
            </w:r>
            <w:r>
              <w:t>punktet på mødet ift. evt. spørgsmål.</w:t>
            </w:r>
          </w:p>
        </w:tc>
      </w:tr>
      <w:tr w:rsidR="002E7106" w14:paraId="16AE6207" w14:textId="77777777" w:rsidTr="005A7A79">
        <w:tc>
          <w:tcPr>
            <w:tcW w:w="5000" w:type="pct"/>
            <w:gridSpan w:val="2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7EC73E" w14:textId="77777777" w:rsidR="002E7106" w:rsidRDefault="002E7106" w:rsidP="008A2055">
            <w:r w:rsidRPr="00AF6A59">
              <w:t xml:space="preserve">Endelig eksamensplan udsendes </w:t>
            </w:r>
            <w:r>
              <w:t xml:space="preserve">senest </w:t>
            </w:r>
            <w:r w:rsidRPr="00AF6A59">
              <w:t>ultimo januar og august via hjemmeside</w:t>
            </w:r>
            <w:r>
              <w:t>.</w:t>
            </w:r>
          </w:p>
        </w:tc>
      </w:tr>
      <w:tr w:rsidR="002E7106" w14:paraId="276F055B" w14:textId="77777777" w:rsidTr="005A7A79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F36B7A" w14:textId="231786A2" w:rsidR="002E7106" w:rsidRPr="00A76DDB" w:rsidRDefault="002E7106" w:rsidP="002E7106">
            <w:pPr>
              <w:spacing w:before="120" w:after="120"/>
              <w:jc w:val="center"/>
            </w:pPr>
            <w:r w:rsidRPr="00583B6C">
              <w:rPr>
                <w:b/>
              </w:rPr>
              <w:t>Principper</w:t>
            </w:r>
            <w:r w:rsidR="008A2055">
              <w:rPr>
                <w:b/>
              </w:rPr>
              <w:t xml:space="preserve"> </w:t>
            </w:r>
            <w:r w:rsidR="0044784E">
              <w:rPr>
                <w:b/>
              </w:rPr>
              <w:t>–</w:t>
            </w:r>
            <w:r w:rsidR="008A2055">
              <w:rPr>
                <w:b/>
              </w:rPr>
              <w:t xml:space="preserve"> </w:t>
            </w:r>
            <w:r w:rsidR="00B4720F">
              <w:rPr>
                <w:b/>
              </w:rPr>
              <w:t>f</w:t>
            </w:r>
            <w:r w:rsidR="008A2055">
              <w:rPr>
                <w:b/>
              </w:rPr>
              <w:t>ælles</w:t>
            </w:r>
            <w:r w:rsidR="0044784E">
              <w:rPr>
                <w:b/>
              </w:rPr>
              <w:t xml:space="preserve"> </w:t>
            </w:r>
            <w:r w:rsidR="001132A0">
              <w:rPr>
                <w:b/>
              </w:rPr>
              <w:t>for</w:t>
            </w:r>
            <w:r w:rsidR="0044784E">
              <w:rPr>
                <w:b/>
              </w:rPr>
              <w:t xml:space="preserve"> alle studienævn</w:t>
            </w:r>
          </w:p>
        </w:tc>
      </w:tr>
      <w:tr w:rsidR="002E7106" w14:paraId="09D5E4F2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D4C52" w14:textId="57D75A01" w:rsidR="002E7106" w:rsidRDefault="002E7106" w:rsidP="00CE49C0">
            <w:r w:rsidRPr="00A76DDB">
              <w:t>Det tilstræbes</w:t>
            </w:r>
            <w:r w:rsidR="002666E6">
              <w:t>,</w:t>
            </w:r>
            <w:r w:rsidRPr="00A76DDB">
              <w:t xml:space="preserve"> at eksamensdatoerne</w:t>
            </w:r>
            <w:r>
              <w:t xml:space="preserve"> for både ordinære eksamener og reeksamener</w:t>
            </w:r>
            <w:r w:rsidRPr="00A76DDB">
              <w:t xml:space="preserve"> fordeles jævnt over hele eksamensperioden</w:t>
            </w:r>
            <w:r>
              <w:t>.</w:t>
            </w:r>
          </w:p>
        </w:tc>
      </w:tr>
      <w:tr w:rsidR="007D41FE" w14:paraId="1664B5E2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23BF0A" w14:textId="37A57CFA" w:rsidR="007D41FE" w:rsidRDefault="007D41FE" w:rsidP="005808B7">
            <w:r>
              <w:t>Skriftlige eksamener planlægges så vi sikrer at alle kan afvikles i egne lokaler (kun de store på MedIS/Medicin afvikles i haller)</w:t>
            </w:r>
          </w:p>
        </w:tc>
      </w:tr>
      <w:tr w:rsidR="002E7106" w14:paraId="003ADCD7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CD4C1" w14:textId="77777777" w:rsidR="002E7106" w:rsidRPr="00A76DDB" w:rsidRDefault="002E7106" w:rsidP="005808B7">
            <w:r>
              <w:t>Skriftlige eksamener planlægges så vidt muligt før mundtlige af hensyn til rette-perioden.</w:t>
            </w:r>
          </w:p>
        </w:tc>
      </w:tr>
      <w:tr w:rsidR="002E7106" w14:paraId="69755DC5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6C6CB" w14:textId="77777777" w:rsidR="002E7106" w:rsidRDefault="002E7106" w:rsidP="005808B7">
            <w:r>
              <w:t>Første hverdag efter jule- og sommerferien friholdes for eksamener lige som Grundlovsdag og helligdage friholdes.</w:t>
            </w:r>
          </w:p>
        </w:tc>
      </w:tr>
      <w:tr w:rsidR="002E7106" w14:paraId="3B7A91D6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B38BD" w14:textId="77777777" w:rsidR="00272F21" w:rsidRDefault="002E7106" w:rsidP="002666E6">
            <w:pPr>
              <w:spacing w:after="160"/>
            </w:pPr>
            <w:r w:rsidRPr="00A76DDB">
              <w:t xml:space="preserve">Der må ikke ligge eksamen samme dato for to på hinanden følgende semestre. </w:t>
            </w:r>
          </w:p>
          <w:p w14:paraId="1BDC9343" w14:textId="77777777" w:rsidR="00272F21" w:rsidRDefault="002E7106" w:rsidP="005808B7">
            <w:r w:rsidRPr="00A76DDB">
              <w:t>Dette for at sikre, at alle har mulighed for at prioritere deltagelse i reeksamen på et foregående semester.</w:t>
            </w:r>
          </w:p>
          <w:p w14:paraId="780A3AB1" w14:textId="77777777" w:rsidR="002E7106" w:rsidRDefault="002E7106" w:rsidP="005808B7">
            <w:r w:rsidRPr="00A76DDB">
              <w:t xml:space="preserve">Ved planlægning af </w:t>
            </w:r>
            <w:r>
              <w:t>reeksamen</w:t>
            </w:r>
            <w:r w:rsidRPr="00A76DDB">
              <w:t xml:space="preserve">er tages der højde for eventuelle studerende på højere semestre, som også kan forventes at tilmelde sig, og hvor </w:t>
            </w:r>
            <w:r>
              <w:t>reeksamen</w:t>
            </w:r>
            <w:r w:rsidRPr="00A76DDB">
              <w:t xml:space="preserve"> må forv</w:t>
            </w:r>
            <w:r w:rsidR="00272F21">
              <w:t>entes at have højeste prioritet</w:t>
            </w:r>
            <w:r>
              <w:t>.</w:t>
            </w:r>
          </w:p>
        </w:tc>
      </w:tr>
      <w:tr w:rsidR="002E7106" w14:paraId="027776A3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398A31" w14:textId="4BBE2C8D" w:rsidR="002E7106" w:rsidRDefault="002E7106" w:rsidP="005808B7">
            <w:r w:rsidRPr="00A76DDB">
              <w:t xml:space="preserve">Sidste hverdag i januar friholdes så vidt muligt </w:t>
            </w:r>
            <w:r w:rsidR="00D035E6">
              <w:t xml:space="preserve">af hensyn til </w:t>
            </w:r>
            <w:r w:rsidRPr="00A76DDB">
              <w:t>studerendes fremmøde til semesterstart 1. februar og underviseres behov for tid til forberedelse</w:t>
            </w:r>
            <w:r>
              <w:t>.</w:t>
            </w:r>
          </w:p>
        </w:tc>
      </w:tr>
      <w:tr w:rsidR="00B739F2" w14:paraId="24147795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0EEFDB" w14:textId="77777777" w:rsidR="00B739F2" w:rsidRPr="00A76DDB" w:rsidRDefault="00B739F2" w:rsidP="005808B7">
            <w:r w:rsidRPr="009425FE">
              <w:t>Det tilstræbes at koordinere eksamen for obligatoriske kurser, der samlæses mellem 2 forskellige uddannelsesretninger.</w:t>
            </w:r>
          </w:p>
        </w:tc>
      </w:tr>
      <w:tr w:rsidR="00F345F2" w14:paraId="68AC5294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B572E" w14:textId="013C4C87" w:rsidR="005808B7" w:rsidRPr="009425FE" w:rsidRDefault="00F345F2" w:rsidP="005808B7">
            <w:r w:rsidRPr="0076571B">
              <w:t>Hvis projektafleveringsdato ved vintereksamen placeres inden jul, skal det sikres, at der efterfølgende er to hverdage til rådighed til vejleders kontrol af plagiatscan samt tjek af resumé/formalia inden juleferien begynder</w:t>
            </w:r>
            <w:r w:rsidR="005808B7">
              <w:t>.</w:t>
            </w:r>
          </w:p>
        </w:tc>
      </w:tr>
      <w:tr w:rsidR="00F345F2" w14:paraId="11BDC981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B9988" w14:textId="2E475F2C" w:rsidR="00F345F2" w:rsidRPr="009425FE" w:rsidRDefault="00F345F2" w:rsidP="005808B7">
            <w:r>
              <w:t>Specialer afleveres samme dag på tværs af uddannelser – enten den sidste hverdag i maj eller den første hverdag i juni.</w:t>
            </w:r>
          </w:p>
        </w:tc>
      </w:tr>
      <w:tr w:rsidR="00F345F2" w14:paraId="37F6C66D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181551" w14:textId="2300D3F6" w:rsidR="00F345F2" w:rsidRPr="009425FE" w:rsidRDefault="00654769" w:rsidP="005808B7">
            <w:r>
              <w:t>S</w:t>
            </w:r>
            <w:r w:rsidR="00F345F2" w:rsidRPr="00381C28">
              <w:t xml:space="preserve">tudieleder og studienævn kan godkende </w:t>
            </w:r>
            <w:r>
              <w:t xml:space="preserve">at </w:t>
            </w:r>
            <w:r w:rsidR="00242E94">
              <w:t xml:space="preserve">ordinære eksamener afholdes </w:t>
            </w:r>
            <w:r w:rsidR="00F345F2" w:rsidRPr="00381C28">
              <w:t>løbende</w:t>
            </w:r>
            <w:r w:rsidR="00F345F2">
              <w:t xml:space="preserve"> i semesteret.</w:t>
            </w:r>
          </w:p>
        </w:tc>
      </w:tr>
      <w:tr w:rsidR="00F345F2" w14:paraId="0FE47F8F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6FC249" w14:textId="77777777" w:rsidR="00F345F2" w:rsidRPr="00F345F2" w:rsidRDefault="00F345F2" w:rsidP="00242E94">
            <w:pPr>
              <w:spacing w:after="160"/>
            </w:pPr>
            <w:r w:rsidRPr="00F345F2">
              <w:t xml:space="preserve">Der kan som udgangspunkt planlægges reeksamen ved vintereksamen i uge 8 (vinterferien), såfremt dette er afklaret direkte med både den modulansvarlige og studiesekretæren. </w:t>
            </w:r>
          </w:p>
          <w:p w14:paraId="41AC73D5" w14:textId="71D0475A" w:rsidR="00F345F2" w:rsidRPr="009425FE" w:rsidRDefault="00F345F2" w:rsidP="005808B7">
            <w:r w:rsidRPr="00F345F2">
              <w:t>Hvis modul-/kursusansvarlige er</w:t>
            </w:r>
            <w:r w:rsidR="00D93665">
              <w:t xml:space="preserve"> fraværende (</w:t>
            </w:r>
            <w:r w:rsidR="00744D66">
              <w:t xml:space="preserve">grundet </w:t>
            </w:r>
            <w:r w:rsidR="00D93665">
              <w:t>ferie eller lign.)</w:t>
            </w:r>
            <w:r w:rsidRPr="00F345F2">
              <w:t>, kan der laves aftale med kollega om at være til rådighed ved skriftlig reeksamen.</w:t>
            </w:r>
          </w:p>
        </w:tc>
      </w:tr>
      <w:tr w:rsidR="00F345F2" w14:paraId="713C5866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311696" w14:textId="5D7ED914" w:rsidR="00F345F2" w:rsidRPr="009425FE" w:rsidRDefault="00F345F2" w:rsidP="005808B7">
            <w:r>
              <w:t>Reeksamen</w:t>
            </w:r>
            <w:r w:rsidRPr="00A76DDB">
              <w:t xml:space="preserve"> ved sommereksamen starter tidligst i u</w:t>
            </w:r>
            <w:r>
              <w:t>ge 32 pga. sommerferie. Reeksamen ved vintereksamen starter tidligst anden hverdag i februar af hensyn til semesterstart.</w:t>
            </w:r>
          </w:p>
        </w:tc>
      </w:tr>
      <w:tr w:rsidR="00F345F2" w14:paraId="7EDD5F91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ED68E2" w14:textId="26FDBD60" w:rsidR="00F345F2" w:rsidRPr="009425FE" w:rsidRDefault="00F345F2" w:rsidP="005808B7">
            <w:r>
              <w:lastRenderedPageBreak/>
              <w:t xml:space="preserve">Reeksamen planlægges tidligst </w:t>
            </w:r>
            <w:r w:rsidRPr="00381C28">
              <w:t>14 dage fra datoen</w:t>
            </w:r>
            <w:r>
              <w:t xml:space="preserve">, hvor resultatet skal være tilgængeligt for de studerende (bedømmer har 15 hverdage, hvor juli tæller med og hvor hverdagene mellem jul og nytår </w:t>
            </w:r>
            <w:r w:rsidRPr="00583B6C">
              <w:rPr>
                <w:u w:val="single"/>
              </w:rPr>
              <w:t>ikke</w:t>
            </w:r>
            <w:r>
              <w:t xml:space="preserve"> tæller med).</w:t>
            </w:r>
          </w:p>
        </w:tc>
      </w:tr>
      <w:tr w:rsidR="00F345F2" w14:paraId="7D5654AD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2ACF0F" w14:textId="6075E361" w:rsidR="00F345F2" w:rsidRPr="009425FE" w:rsidRDefault="00522569" w:rsidP="005808B7">
            <w:r>
              <w:t>S</w:t>
            </w:r>
            <w:r w:rsidR="00F345F2" w:rsidRPr="00D00031">
              <w:t xml:space="preserve">tudieleder og studienævn kan godkende </w:t>
            </w:r>
            <w:r w:rsidR="001E719C">
              <w:t xml:space="preserve">at </w:t>
            </w:r>
            <w:r w:rsidR="00F345F2" w:rsidRPr="00D00031">
              <w:t xml:space="preserve">reeksamen </w:t>
            </w:r>
            <w:r w:rsidR="00F345F2">
              <w:t>finde</w:t>
            </w:r>
            <w:r w:rsidR="001E719C">
              <w:t>r</w:t>
            </w:r>
            <w:r w:rsidR="00F345F2">
              <w:t xml:space="preserve"> sted</w:t>
            </w:r>
            <w:r w:rsidR="003D4F5D">
              <w:t xml:space="preserve"> </w:t>
            </w:r>
            <w:r w:rsidR="00F345F2" w:rsidRPr="00D00031">
              <w:t>maks. 2 uger ind</w:t>
            </w:r>
            <w:r w:rsidR="00F345F2">
              <w:t>e</w:t>
            </w:r>
            <w:r w:rsidR="00F345F2" w:rsidRPr="00D00031">
              <w:t xml:space="preserve"> i </w:t>
            </w:r>
            <w:r w:rsidR="002359F3">
              <w:t xml:space="preserve">hhv. </w:t>
            </w:r>
            <w:r w:rsidR="00F345F2" w:rsidRPr="00D00031">
              <w:t>marts</w:t>
            </w:r>
            <w:r w:rsidR="002359F3">
              <w:t xml:space="preserve"> eller </w:t>
            </w:r>
            <w:r w:rsidR="00F345F2" w:rsidRPr="00D00031">
              <w:t>september</w:t>
            </w:r>
            <w:r w:rsidR="00F345F2">
              <w:t>.</w:t>
            </w:r>
          </w:p>
        </w:tc>
      </w:tr>
      <w:tr w:rsidR="00837E0A" w14:paraId="6A161862" w14:textId="77777777" w:rsidTr="00837E0A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3F225D" w14:textId="699B433C" w:rsidR="00837E0A" w:rsidRPr="001132A0" w:rsidRDefault="00837E0A" w:rsidP="00CC7BAE">
            <w:pPr>
              <w:jc w:val="center"/>
              <w:rPr>
                <w:b/>
                <w:bCs/>
              </w:rPr>
            </w:pPr>
            <w:r w:rsidRPr="001132A0">
              <w:rPr>
                <w:b/>
                <w:bCs/>
              </w:rPr>
              <w:t xml:space="preserve">Principper </w:t>
            </w:r>
            <w:r w:rsidR="003D4F5D">
              <w:rPr>
                <w:b/>
                <w:bCs/>
              </w:rPr>
              <w:t>–</w:t>
            </w:r>
            <w:r w:rsidRPr="001132A0">
              <w:rPr>
                <w:b/>
                <w:bCs/>
              </w:rPr>
              <w:t xml:space="preserve"> </w:t>
            </w:r>
            <w:r w:rsidR="003D4F5D">
              <w:rPr>
                <w:b/>
                <w:bCs/>
              </w:rPr>
              <w:t xml:space="preserve">kun gældende for </w:t>
            </w:r>
            <w:r w:rsidRPr="001132A0">
              <w:rPr>
                <w:b/>
                <w:bCs/>
              </w:rPr>
              <w:t>SNST</w:t>
            </w:r>
          </w:p>
        </w:tc>
      </w:tr>
      <w:tr w:rsidR="002E7106" w14:paraId="67C1ED34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D6B333" w14:textId="044E94E8" w:rsidR="00F345F2" w:rsidRDefault="002E7106" w:rsidP="003D4F5D">
            <w:pPr>
              <w:spacing w:after="160"/>
            </w:pPr>
            <w:r>
              <w:t xml:space="preserve">På semestre med både kurser og projekt planlægges kursuseksamener i første halvdel af perioden og projekteksamener den sidste del af perioden. </w:t>
            </w:r>
            <w:r w:rsidR="00607FD8">
              <w:t>Det tilstræbes</w:t>
            </w:r>
            <w:r w:rsidR="00D7243C">
              <w:t>,</w:t>
            </w:r>
            <w:r w:rsidR="00607FD8">
              <w:t xml:space="preserve"> at projekteksamensperioden </w:t>
            </w:r>
            <w:r w:rsidR="00F5189C">
              <w:t>bliver så lang som muligt og mindst</w:t>
            </w:r>
            <w:r w:rsidR="00607FD8">
              <w:t xml:space="preserve"> hen over en weekend, så den inkluderer dage i 2 uger.</w:t>
            </w:r>
          </w:p>
          <w:p w14:paraId="403C6380" w14:textId="5D2D6EC5" w:rsidR="002E7106" w:rsidRDefault="002E7106" w:rsidP="005808B7">
            <w:r>
              <w:t>En undtagelse til dette er 4. sem</w:t>
            </w:r>
            <w:r w:rsidR="004F64AB">
              <w:t>ester</w:t>
            </w:r>
            <w:r>
              <w:t xml:space="preserve"> ST, hvor </w:t>
            </w:r>
            <w:r w:rsidRPr="000B3F1C">
              <w:t>projektet</w:t>
            </w:r>
            <w:r>
              <w:t xml:space="preserve"> planlægges</w:t>
            </w:r>
            <w:r w:rsidRPr="000B3F1C">
              <w:t xml:space="preserve"> i starten af eksamensperioden for at give mulighed for frivill</w:t>
            </w:r>
            <w:r>
              <w:t>igt arbejde i sommerferien</w:t>
            </w:r>
            <w:r w:rsidRPr="000B3F1C">
              <w:t>.</w:t>
            </w:r>
          </w:p>
        </w:tc>
      </w:tr>
      <w:tr w:rsidR="0012660B" w14:paraId="36D10E23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40F3AD" w14:textId="2C62A50D" w:rsidR="0012660B" w:rsidRDefault="0012660B" w:rsidP="003D4F5D">
            <w:r w:rsidRPr="00ED1CC6">
              <w:t>D</w:t>
            </w:r>
            <w:r>
              <w:t xml:space="preserve">et tilstræbes at der er </w:t>
            </w:r>
            <w:r w:rsidR="008070D6">
              <w:t xml:space="preserve">mindst </w:t>
            </w:r>
            <w:r>
              <w:t>2 dage mellem hver eksamen.</w:t>
            </w:r>
          </w:p>
        </w:tc>
      </w:tr>
      <w:tr w:rsidR="002E7106" w14:paraId="5DC62E94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045F3B" w14:textId="54B940A1" w:rsidR="002E7106" w:rsidRDefault="002E7106" w:rsidP="005808B7">
            <w:r w:rsidRPr="00A57D4A">
              <w:t>Ved specialer i utakt</w:t>
            </w:r>
            <w:r>
              <w:t xml:space="preserve"> </w:t>
            </w:r>
            <w:r w:rsidR="00F57C38">
              <w:t xml:space="preserve">samt </w:t>
            </w:r>
            <w:r>
              <w:t>semestre med udlandsophold</w:t>
            </w:r>
            <w:r w:rsidRPr="00A57D4A">
              <w:t xml:space="preserve"> afleveres d</w:t>
            </w:r>
            <w:r>
              <w:t>en første arbejdsdag efter jul.</w:t>
            </w:r>
            <w:r w:rsidR="00AE7DF8">
              <w:t xml:space="preserve"> (udlandsophold er på ST)</w:t>
            </w:r>
          </w:p>
        </w:tc>
      </w:tr>
      <w:tr w:rsidR="001132A0" w14:paraId="4A6695B5" w14:textId="77777777" w:rsidTr="001132A0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B71B9" w14:textId="57A74AF4" w:rsidR="001132A0" w:rsidRPr="001132A0" w:rsidRDefault="001132A0" w:rsidP="00CC7BAE">
            <w:pPr>
              <w:jc w:val="center"/>
              <w:rPr>
                <w:b/>
                <w:bCs/>
              </w:rPr>
            </w:pPr>
            <w:r w:rsidRPr="001132A0">
              <w:rPr>
                <w:b/>
                <w:bCs/>
              </w:rPr>
              <w:t xml:space="preserve">Principper </w:t>
            </w:r>
            <w:r w:rsidR="003D4F5D">
              <w:rPr>
                <w:b/>
                <w:bCs/>
              </w:rPr>
              <w:t xml:space="preserve">– kun gældende for </w:t>
            </w:r>
            <w:r w:rsidRPr="001132A0">
              <w:rPr>
                <w:b/>
                <w:bCs/>
              </w:rPr>
              <w:t>SNIF</w:t>
            </w:r>
          </w:p>
        </w:tc>
      </w:tr>
      <w:tr w:rsidR="002E7106" w14:paraId="45ACBAFE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DBF758" w14:textId="46C8DE2A" w:rsidR="002E7106" w:rsidRDefault="00F345F2" w:rsidP="0012660B">
            <w:r>
              <w:t>På semestre med både kurser og projekt planlægges kursuseksamener i første halvdel af perioden og projekteksamener den sidste del af perioden. Det tilstræbes at projekteksamensperioden løber hen over en weekend, så den inkluderer dage i 2 uger.</w:t>
            </w:r>
          </w:p>
        </w:tc>
      </w:tr>
      <w:tr w:rsidR="0012660B" w14:paraId="464D4C57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ACABF2" w14:textId="5A83C601" w:rsidR="0012660B" w:rsidRDefault="0012660B" w:rsidP="0012660B">
            <w:r>
              <w:t>Det tilstræbes at der er 2-3 dage mellem projekteksamensperiode slut og semesterstart.</w:t>
            </w:r>
          </w:p>
        </w:tc>
      </w:tr>
      <w:tr w:rsidR="00F345F2" w14:paraId="1FE8EAF9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6D29C9" w14:textId="1DFB3F6A" w:rsidR="00F345F2" w:rsidRPr="00F345F2" w:rsidRDefault="00F345F2" w:rsidP="005808B7">
            <w:pPr>
              <w:rPr>
                <w:b/>
              </w:rPr>
            </w:pPr>
            <w:r w:rsidRPr="00A57D4A">
              <w:t>Ved specialer i utakt</w:t>
            </w:r>
            <w:r>
              <w:t>, semestre med udlandsophold</w:t>
            </w:r>
            <w:r w:rsidRPr="00A57D4A">
              <w:t xml:space="preserve"> samt tofags</w:t>
            </w:r>
            <w:r>
              <w:t>-bachelorprojekt og -speciale</w:t>
            </w:r>
            <w:r w:rsidRPr="00A57D4A">
              <w:t>, afleveres d</w:t>
            </w:r>
            <w:r>
              <w:t>en første arbejdsdag efter jul. (udlandsophold er på Idræt</w:t>
            </w:r>
            <w:r w:rsidR="0012660B">
              <w:t>)</w:t>
            </w:r>
          </w:p>
        </w:tc>
      </w:tr>
      <w:tr w:rsidR="002E7106" w14:paraId="0B2E9B19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52B677" w14:textId="243423FE" w:rsidR="002E7106" w:rsidRDefault="00F345F2" w:rsidP="005808B7">
            <w:r w:rsidRPr="00BE01C2">
              <w:t>De praktiske eksamener for Idræt skal planlægges på datoer vi kan have Gigantium</w:t>
            </w:r>
            <w:r>
              <w:t>, så vi ikke skal leje lokaler andre steder.</w:t>
            </w:r>
          </w:p>
        </w:tc>
      </w:tr>
      <w:tr w:rsidR="001132A0" w14:paraId="5D793936" w14:textId="77777777" w:rsidTr="001132A0">
        <w:tc>
          <w:tcPr>
            <w:tcW w:w="5000" w:type="pct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4865E0" w14:textId="767D4E70" w:rsidR="001132A0" w:rsidRPr="001132A0" w:rsidRDefault="003D4F5D" w:rsidP="00CC7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Principper – kun gældende for </w:t>
            </w:r>
            <w:r w:rsidR="001132A0" w:rsidRPr="001132A0">
              <w:rPr>
                <w:b/>
                <w:bCs/>
              </w:rPr>
              <w:t>SNME</w:t>
            </w:r>
          </w:p>
        </w:tc>
      </w:tr>
      <w:tr w:rsidR="00654769" w14:paraId="6C627F68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5A25A2" w14:textId="20A625B2" w:rsidR="00654769" w:rsidRDefault="00654769" w:rsidP="005808B7">
            <w:r>
              <w:t xml:space="preserve">Ordinære </w:t>
            </w:r>
            <w:r w:rsidR="00744D66">
              <w:t xml:space="preserve">eksamener </w:t>
            </w:r>
            <w:r>
              <w:t>kan afholdes i februar</w:t>
            </w:r>
          </w:p>
        </w:tc>
      </w:tr>
      <w:tr w:rsidR="003B49C7" w14:paraId="541AA754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B7468F" w14:textId="7D6EF03A" w:rsidR="003B49C7" w:rsidRDefault="003B49C7" w:rsidP="00833F7E">
            <w:pPr>
              <w:rPr>
                <w:b/>
              </w:rPr>
            </w:pPr>
            <w:r>
              <w:t>For forårs-eksaminer gælder, at der skal være 5 dage fra sidste skemalagte aktivitet, til første eksamen afholdes</w:t>
            </w:r>
            <w:r w:rsidR="00C077DD">
              <w:t>.</w:t>
            </w:r>
          </w:p>
        </w:tc>
      </w:tr>
      <w:tr w:rsidR="00833F7E" w14:paraId="262F4AD2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DD4866" w14:textId="1DC96EF5" w:rsidR="00833F7E" w:rsidRDefault="00833F7E" w:rsidP="00C077DD">
            <w:pPr>
              <w:rPr>
                <w:bCs/>
              </w:rPr>
            </w:pPr>
            <w:r>
              <w:rPr>
                <w:bCs/>
              </w:rPr>
              <w:t>OSCE skal afholdes inden modul ”</w:t>
            </w:r>
            <w:r>
              <w:t>Respirations, kredsløbs- og urinvejssystemerne II”, og der skal ligge 5 læsedage inkl. weekend efter OSCE´s sidste prøvedag.</w:t>
            </w:r>
          </w:p>
        </w:tc>
      </w:tr>
      <w:tr w:rsidR="008B35C8" w14:paraId="4C07CF0B" w14:textId="77777777" w:rsidTr="005A7A79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F57148" w14:textId="6FADE698" w:rsidR="008B35C8" w:rsidRDefault="008B35C8" w:rsidP="00654769">
            <w:pPr>
              <w:rPr>
                <w:b/>
              </w:rPr>
            </w:pPr>
            <w:r w:rsidRPr="00381C28">
              <w:t>Skriftlige stedprøver placeres således</w:t>
            </w:r>
            <w:r>
              <w:t>,</w:t>
            </w:r>
            <w:r w:rsidRPr="00381C28">
              <w:t xml:space="preserve"> at der</w:t>
            </w:r>
            <w:r>
              <w:t xml:space="preserve"> er</w:t>
            </w:r>
            <w:r w:rsidRPr="00381C28">
              <w:t xml:space="preserve"> </w:t>
            </w:r>
            <w:r>
              <w:t>1</w:t>
            </w:r>
            <w:r w:rsidRPr="00381C28">
              <w:t xml:space="preserve"> dag til at </w:t>
            </w:r>
            <w:r>
              <w:t>forberede sig</w:t>
            </w:r>
            <w:r w:rsidRPr="00381C28">
              <w:t xml:space="preserve"> pr. 2 ECTS. Dvs. 5 dage friholdes før en 10 ECTS </w:t>
            </w:r>
            <w:r>
              <w:t>modul</w:t>
            </w:r>
            <w:r w:rsidRPr="00381C28">
              <w:t>eksamen</w:t>
            </w:r>
            <w:r w:rsidR="003152CC">
              <w:t>,</w:t>
            </w:r>
            <w:r>
              <w:t xml:space="preserve"> 3 dage før en 5 ECTS</w:t>
            </w:r>
            <w:r w:rsidR="00C31E28">
              <w:t>-</w:t>
            </w:r>
            <w:r>
              <w:t>eksamen</w:t>
            </w:r>
            <w:r w:rsidR="003152CC">
              <w:t xml:space="preserve"> og 8 dage inden en eksamen på 15 ECTS.</w:t>
            </w:r>
          </w:p>
        </w:tc>
      </w:tr>
      <w:tr w:rsidR="00654769" w14:paraId="69E3D1E7" w14:textId="77777777" w:rsidTr="008F50DC"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F6533B" w14:textId="0420E31D" w:rsidR="00654769" w:rsidRDefault="00654769" w:rsidP="008F50DC">
            <w:r>
              <w:t>S</w:t>
            </w:r>
            <w:r w:rsidRPr="00381C28">
              <w:t xml:space="preserve">tudieleder og studienævn kan godkende </w:t>
            </w:r>
            <w:r>
              <w:t>at reeksamen finder sted løbende på 3. semester MedIS/Med BA</w:t>
            </w:r>
            <w:r w:rsidRPr="00D00031">
              <w:t>.</w:t>
            </w:r>
          </w:p>
        </w:tc>
      </w:tr>
    </w:tbl>
    <w:p w14:paraId="1F56453D" w14:textId="77777777" w:rsidR="00C82FD1" w:rsidRDefault="00C82FD1" w:rsidP="001D1A3F"/>
    <w:p w14:paraId="454D856E" w14:textId="77777777" w:rsidR="00275C1F" w:rsidRDefault="00275C1F" w:rsidP="001D1A3F"/>
    <w:p w14:paraId="2E2CA768" w14:textId="77777777" w:rsidR="00275C1F" w:rsidRDefault="00275C1F" w:rsidP="001D1A3F"/>
    <w:p w14:paraId="7C5EADAD" w14:textId="77777777" w:rsidR="00275C1F" w:rsidRDefault="00275C1F" w:rsidP="001D1A3F"/>
    <w:p w14:paraId="5B5C2CD5" w14:textId="77777777" w:rsidR="00275C1F" w:rsidRDefault="00275C1F" w:rsidP="001D1A3F"/>
    <w:p w14:paraId="3C8266BB" w14:textId="4D38AD71" w:rsidR="00275C1F" w:rsidRPr="00275C1F" w:rsidRDefault="00275C1F" w:rsidP="001D1A3F">
      <w:pPr>
        <w:rPr>
          <w:sz w:val="16"/>
          <w:szCs w:val="16"/>
        </w:rPr>
      </w:pPr>
      <w:r w:rsidRPr="00275C1F">
        <w:rPr>
          <w:sz w:val="16"/>
          <w:szCs w:val="16"/>
        </w:rPr>
        <w:t>Opdateret 20.01.2025</w:t>
      </w:r>
    </w:p>
    <w:sectPr w:rsidR="00275C1F" w:rsidRPr="00275C1F" w:rsidSect="00C221F3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90D0" w14:textId="77777777" w:rsidR="00C961A2" w:rsidRDefault="00C961A2" w:rsidP="002E7106">
      <w:pPr>
        <w:spacing w:after="0" w:line="240" w:lineRule="auto"/>
      </w:pPr>
      <w:r>
        <w:separator/>
      </w:r>
    </w:p>
  </w:endnote>
  <w:endnote w:type="continuationSeparator" w:id="0">
    <w:p w14:paraId="219450C3" w14:textId="77777777" w:rsidR="00C961A2" w:rsidRDefault="00C961A2" w:rsidP="002E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568827"/>
      <w:docPartObj>
        <w:docPartGallery w:val="Page Numbers (Bottom of Page)"/>
        <w:docPartUnique/>
      </w:docPartObj>
    </w:sdtPr>
    <w:sdtEndPr/>
    <w:sdtContent>
      <w:sdt>
        <w:sdtPr>
          <w:id w:val="43495767"/>
          <w:docPartObj>
            <w:docPartGallery w:val="Page Numbers (Top of Page)"/>
            <w:docPartUnique/>
          </w:docPartObj>
        </w:sdtPr>
        <w:sdtEndPr/>
        <w:sdtContent>
          <w:p w14:paraId="67EE0C62" w14:textId="6462F63C" w:rsidR="00285AF5" w:rsidRDefault="00285AF5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4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4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5DE9CA" w14:textId="77777777" w:rsidR="00285AF5" w:rsidRDefault="00285AF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4039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7F0C4A" w14:textId="6D12CDE2" w:rsidR="00285AF5" w:rsidRDefault="00285AF5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4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4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0758A3" w14:textId="77777777" w:rsidR="00285AF5" w:rsidRDefault="00285A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65A3" w14:textId="77777777" w:rsidR="00C961A2" w:rsidRDefault="00C961A2" w:rsidP="002E7106">
      <w:pPr>
        <w:spacing w:after="0" w:line="240" w:lineRule="auto"/>
      </w:pPr>
      <w:r>
        <w:separator/>
      </w:r>
    </w:p>
  </w:footnote>
  <w:footnote w:type="continuationSeparator" w:id="0">
    <w:p w14:paraId="548BCEEA" w14:textId="77777777" w:rsidR="00C961A2" w:rsidRDefault="00C961A2" w:rsidP="002E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1D42" w14:textId="77777777" w:rsidR="00285AF5" w:rsidRDefault="00285AF5" w:rsidP="00285AF5">
    <w:pPr>
      <w:pStyle w:val="Sidefod"/>
      <w:jc w:val="right"/>
      <w:rPr>
        <w:rFonts w:cs="Arial"/>
        <w:b/>
        <w:color w:val="211A52"/>
        <w:sz w:val="16"/>
        <w:szCs w:val="16"/>
      </w:rPr>
    </w:pPr>
    <w:r>
      <w:rPr>
        <w:noProof/>
        <w:lang w:eastAsia="da-DK"/>
      </w:rPr>
      <w:drawing>
        <wp:inline distT="0" distB="0" distL="0" distR="0" wp14:anchorId="00231375" wp14:editId="5CAE2467">
          <wp:extent cx="1786132" cy="105461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02A91" w14:textId="77777777" w:rsidR="00285AF5" w:rsidRDefault="00285AF5" w:rsidP="00285AF5">
    <w:pPr>
      <w:pStyle w:val="Sidefod"/>
      <w:jc w:val="right"/>
    </w:pPr>
    <w:r w:rsidRPr="00285AF5">
      <w:rPr>
        <w:rFonts w:cs="Arial"/>
        <w:b/>
        <w:color w:val="211A52"/>
        <w:sz w:val="16"/>
        <w:szCs w:val="16"/>
      </w:rPr>
      <w:t xml:space="preserve"> </w:t>
    </w:r>
    <w:r>
      <w:rPr>
        <w:rFonts w:cs="Arial"/>
        <w:b/>
        <w:color w:val="211A52"/>
        <w:sz w:val="16"/>
        <w:szCs w:val="16"/>
      </w:rPr>
      <w:t>Institut for Medicin og Sundhedsteknologi</w:t>
    </w:r>
  </w:p>
  <w:p w14:paraId="055DE25B" w14:textId="3A2902FC" w:rsidR="00285AF5" w:rsidRDefault="00285AF5" w:rsidP="00285AF5">
    <w:pPr>
      <w:pStyle w:val="Sidefod"/>
      <w:tabs>
        <w:tab w:val="clear" w:pos="9638"/>
        <w:tab w:val="right" w:pos="8222"/>
      </w:tabs>
      <w:ind w:right="1558"/>
      <w:jc w:val="right"/>
    </w:pPr>
    <w:r>
      <w:rPr>
        <w:rFonts w:cs="Arial"/>
        <w:color w:val="211A52"/>
        <w:sz w:val="16"/>
        <w:szCs w:val="16"/>
      </w:rPr>
      <w:t xml:space="preserve">Dato: </w:t>
    </w:r>
    <w:r>
      <w:rPr>
        <w:rFonts w:cs="Arial"/>
        <w:color w:val="211A52"/>
        <w:sz w:val="16"/>
        <w:szCs w:val="16"/>
      </w:rPr>
      <w:fldChar w:fldCharType="begin"/>
    </w:r>
    <w:r>
      <w:rPr>
        <w:rFonts w:cs="Arial"/>
        <w:color w:val="211A52"/>
        <w:sz w:val="16"/>
        <w:szCs w:val="16"/>
      </w:rPr>
      <w:instrText xml:space="preserve"> DATE  \@ "dd-MM-yyyy"  \* MERGEFORMAT </w:instrText>
    </w:r>
    <w:r>
      <w:rPr>
        <w:rFonts w:cs="Arial"/>
        <w:color w:val="211A52"/>
        <w:sz w:val="16"/>
        <w:szCs w:val="16"/>
      </w:rPr>
      <w:fldChar w:fldCharType="separate"/>
    </w:r>
    <w:r w:rsidR="003152CC">
      <w:rPr>
        <w:rFonts w:cs="Arial"/>
        <w:noProof/>
        <w:color w:val="211A52"/>
        <w:sz w:val="16"/>
        <w:szCs w:val="16"/>
      </w:rPr>
      <w:t>21-01-2025</w:t>
    </w:r>
    <w:r>
      <w:rPr>
        <w:rFonts w:cs="Arial"/>
        <w:color w:val="211A52"/>
        <w:sz w:val="16"/>
        <w:szCs w:val="16"/>
      </w:rPr>
      <w:fldChar w:fldCharType="end"/>
    </w:r>
  </w:p>
  <w:p w14:paraId="7DC18330" w14:textId="77777777" w:rsidR="00285AF5" w:rsidRDefault="00285A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034"/>
    <w:multiLevelType w:val="hybridMultilevel"/>
    <w:tmpl w:val="FCDAFE0E"/>
    <w:lvl w:ilvl="0" w:tplc="97E24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3524"/>
    <w:multiLevelType w:val="hybridMultilevel"/>
    <w:tmpl w:val="DC509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4FA"/>
    <w:multiLevelType w:val="hybridMultilevel"/>
    <w:tmpl w:val="9D820AF4"/>
    <w:lvl w:ilvl="0" w:tplc="97E24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F6F2A"/>
    <w:multiLevelType w:val="hybridMultilevel"/>
    <w:tmpl w:val="E0BAD79A"/>
    <w:lvl w:ilvl="0" w:tplc="97E24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14D2D"/>
    <w:multiLevelType w:val="hybridMultilevel"/>
    <w:tmpl w:val="D3A03924"/>
    <w:lvl w:ilvl="0" w:tplc="97E24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2031"/>
    <w:multiLevelType w:val="hybridMultilevel"/>
    <w:tmpl w:val="734809EE"/>
    <w:lvl w:ilvl="0" w:tplc="97E24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B4C19"/>
    <w:multiLevelType w:val="hybridMultilevel"/>
    <w:tmpl w:val="775A22F6"/>
    <w:lvl w:ilvl="0" w:tplc="97E24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 w15:restartNumberingAfterBreak="0">
    <w:nsid w:val="67A56D49"/>
    <w:multiLevelType w:val="hybridMultilevel"/>
    <w:tmpl w:val="919EC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66040"/>
    <w:multiLevelType w:val="hybridMultilevel"/>
    <w:tmpl w:val="3C422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4080">
    <w:abstractNumId w:val="5"/>
  </w:num>
  <w:num w:numId="2" w16cid:durableId="451284384">
    <w:abstractNumId w:val="6"/>
  </w:num>
  <w:num w:numId="3" w16cid:durableId="492066836">
    <w:abstractNumId w:val="8"/>
  </w:num>
  <w:num w:numId="4" w16cid:durableId="358168078">
    <w:abstractNumId w:val="1"/>
  </w:num>
  <w:num w:numId="5" w16cid:durableId="631138668">
    <w:abstractNumId w:val="2"/>
  </w:num>
  <w:num w:numId="6" w16cid:durableId="1650472711">
    <w:abstractNumId w:val="4"/>
  </w:num>
  <w:num w:numId="7" w16cid:durableId="1353993525">
    <w:abstractNumId w:val="0"/>
  </w:num>
  <w:num w:numId="8" w16cid:durableId="974918478">
    <w:abstractNumId w:val="3"/>
  </w:num>
  <w:num w:numId="9" w16cid:durableId="1487353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D1"/>
    <w:rsid w:val="000252F0"/>
    <w:rsid w:val="001132A0"/>
    <w:rsid w:val="0012660B"/>
    <w:rsid w:val="0019294C"/>
    <w:rsid w:val="001C4999"/>
    <w:rsid w:val="001C7023"/>
    <w:rsid w:val="001D08B4"/>
    <w:rsid w:val="001D1A3F"/>
    <w:rsid w:val="001E719C"/>
    <w:rsid w:val="00211BE1"/>
    <w:rsid w:val="002359F3"/>
    <w:rsid w:val="00242E94"/>
    <w:rsid w:val="002666E6"/>
    <w:rsid w:val="00272F21"/>
    <w:rsid w:val="00275C1F"/>
    <w:rsid w:val="00285AF5"/>
    <w:rsid w:val="002E7106"/>
    <w:rsid w:val="0031031E"/>
    <w:rsid w:val="0031278E"/>
    <w:rsid w:val="003152CC"/>
    <w:rsid w:val="003B49C7"/>
    <w:rsid w:val="003D4F5D"/>
    <w:rsid w:val="003D5D02"/>
    <w:rsid w:val="0044784E"/>
    <w:rsid w:val="0047793C"/>
    <w:rsid w:val="004F64AB"/>
    <w:rsid w:val="005179F4"/>
    <w:rsid w:val="00522569"/>
    <w:rsid w:val="0052799A"/>
    <w:rsid w:val="0054653C"/>
    <w:rsid w:val="005808B7"/>
    <w:rsid w:val="00583B6C"/>
    <w:rsid w:val="0058676F"/>
    <w:rsid w:val="005A01AB"/>
    <w:rsid w:val="005A7A79"/>
    <w:rsid w:val="005E782A"/>
    <w:rsid w:val="006000E2"/>
    <w:rsid w:val="00601B37"/>
    <w:rsid w:val="00607FD8"/>
    <w:rsid w:val="006328BE"/>
    <w:rsid w:val="00637232"/>
    <w:rsid w:val="00654769"/>
    <w:rsid w:val="006559CE"/>
    <w:rsid w:val="00657D47"/>
    <w:rsid w:val="00665DA9"/>
    <w:rsid w:val="006704A3"/>
    <w:rsid w:val="006814C1"/>
    <w:rsid w:val="0068196D"/>
    <w:rsid w:val="006A662A"/>
    <w:rsid w:val="006B14CC"/>
    <w:rsid w:val="00716139"/>
    <w:rsid w:val="00744D66"/>
    <w:rsid w:val="007D41FE"/>
    <w:rsid w:val="007E43BB"/>
    <w:rsid w:val="008070D6"/>
    <w:rsid w:val="00833F7E"/>
    <w:rsid w:val="00837E0A"/>
    <w:rsid w:val="00856911"/>
    <w:rsid w:val="008705B6"/>
    <w:rsid w:val="0087751C"/>
    <w:rsid w:val="008A0E9F"/>
    <w:rsid w:val="008A130F"/>
    <w:rsid w:val="008A2055"/>
    <w:rsid w:val="008B35C8"/>
    <w:rsid w:val="008B4A8A"/>
    <w:rsid w:val="008D195B"/>
    <w:rsid w:val="009425FE"/>
    <w:rsid w:val="00972598"/>
    <w:rsid w:val="009C23F4"/>
    <w:rsid w:val="009E69D9"/>
    <w:rsid w:val="00A34010"/>
    <w:rsid w:val="00A5473C"/>
    <w:rsid w:val="00A907AD"/>
    <w:rsid w:val="00AE7DF8"/>
    <w:rsid w:val="00AF0FDD"/>
    <w:rsid w:val="00AF513D"/>
    <w:rsid w:val="00B30064"/>
    <w:rsid w:val="00B455B5"/>
    <w:rsid w:val="00B4720F"/>
    <w:rsid w:val="00B739F2"/>
    <w:rsid w:val="00B95C08"/>
    <w:rsid w:val="00BA23C4"/>
    <w:rsid w:val="00BE01C2"/>
    <w:rsid w:val="00BE7B32"/>
    <w:rsid w:val="00BF4B53"/>
    <w:rsid w:val="00C077DD"/>
    <w:rsid w:val="00C116E5"/>
    <w:rsid w:val="00C221F3"/>
    <w:rsid w:val="00C31E28"/>
    <w:rsid w:val="00C43C3F"/>
    <w:rsid w:val="00C82FD1"/>
    <w:rsid w:val="00C961A2"/>
    <w:rsid w:val="00CC7BAE"/>
    <w:rsid w:val="00CE49C0"/>
    <w:rsid w:val="00CF7F02"/>
    <w:rsid w:val="00D02D5D"/>
    <w:rsid w:val="00D035E6"/>
    <w:rsid w:val="00D07397"/>
    <w:rsid w:val="00D7243C"/>
    <w:rsid w:val="00D93665"/>
    <w:rsid w:val="00E14F6F"/>
    <w:rsid w:val="00E1782C"/>
    <w:rsid w:val="00E22CC9"/>
    <w:rsid w:val="00E5387B"/>
    <w:rsid w:val="00EA1DBA"/>
    <w:rsid w:val="00EB29EF"/>
    <w:rsid w:val="00EB3598"/>
    <w:rsid w:val="00ED1CC6"/>
    <w:rsid w:val="00EF0C20"/>
    <w:rsid w:val="00EF443D"/>
    <w:rsid w:val="00F345F2"/>
    <w:rsid w:val="00F5189C"/>
    <w:rsid w:val="00F57C38"/>
    <w:rsid w:val="00F63F70"/>
    <w:rsid w:val="00F73105"/>
    <w:rsid w:val="00F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ADD87"/>
  <w15:chartTrackingRefBased/>
  <w15:docId w15:val="{B7BC6F29-7965-4862-AE6A-4FEB677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2E7106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82FD1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2E7106"/>
    <w:rPr>
      <w:rFonts w:ascii="Arial" w:eastAsia="Times New Roman" w:hAnsi="Arial" w:cs="Arial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E7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106"/>
  </w:style>
  <w:style w:type="paragraph" w:styleId="Sidefod">
    <w:name w:val="footer"/>
    <w:basedOn w:val="Normal"/>
    <w:link w:val="SidefodTegn"/>
    <w:uiPriority w:val="99"/>
    <w:unhideWhenUsed/>
    <w:rsid w:val="002E7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106"/>
  </w:style>
  <w:style w:type="character" w:styleId="Kommentarhenvisning">
    <w:name w:val="annotation reference"/>
    <w:basedOn w:val="Standardskrifttypeiafsnit"/>
    <w:uiPriority w:val="99"/>
    <w:semiHidden/>
    <w:unhideWhenUsed/>
    <w:rsid w:val="00B739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739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739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39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39F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9F2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B95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40B2-C8C9-4D06-8E61-0AC02225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Nielsen</dc:creator>
  <cp:keywords/>
  <dc:description/>
  <cp:lastModifiedBy>Heidi Rothborg Ejlersen</cp:lastModifiedBy>
  <cp:revision>20</cp:revision>
  <dcterms:created xsi:type="dcterms:W3CDTF">2022-02-02T09:34:00Z</dcterms:created>
  <dcterms:modified xsi:type="dcterms:W3CDTF">2025-01-21T07:09:00Z</dcterms:modified>
</cp:coreProperties>
</file>